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0C18" w14:textId="15F90686" w:rsidR="00F756DD" w:rsidRPr="005F590E" w:rsidRDefault="00305EC1" w:rsidP="00305EC1">
      <w:pPr>
        <w:jc w:val="center"/>
        <w:rPr>
          <w:rFonts w:ascii="Arial" w:eastAsia="Dotum" w:hAnsi="Arial" w:cs="Arial"/>
          <w:b/>
          <w:bCs/>
          <w:sz w:val="21"/>
          <w:szCs w:val="21"/>
        </w:rPr>
      </w:pPr>
      <w:r w:rsidRPr="005F590E">
        <w:rPr>
          <w:rFonts w:ascii="Arial" w:eastAsia="Dotum" w:hAnsi="Arial" w:cs="Arial"/>
          <w:b/>
          <w:bCs/>
          <w:sz w:val="21"/>
          <w:szCs w:val="21"/>
        </w:rPr>
        <w:t>OCHRANA OZNAMOVATELŮ (WHISTLEBLOWING)</w:t>
      </w:r>
    </w:p>
    <w:p w14:paraId="23C8C03C" w14:textId="77777777" w:rsidR="00305EC1" w:rsidRPr="005F590E" w:rsidRDefault="00305EC1">
      <w:pPr>
        <w:rPr>
          <w:rFonts w:ascii="Arial" w:eastAsia="Dotum" w:hAnsi="Arial" w:cs="Arial"/>
          <w:sz w:val="21"/>
          <w:szCs w:val="21"/>
        </w:rPr>
      </w:pPr>
    </w:p>
    <w:p w14:paraId="10BCE172" w14:textId="0A7A34E1" w:rsidR="00305EC1" w:rsidRPr="005F590E" w:rsidRDefault="00305EC1" w:rsidP="00305EC1">
      <w:pPr>
        <w:spacing w:after="24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Společnost Lázně Kundratice a.s., IČO 467 08 880, se sídlem Lázeňská 134, Lázně Kundratice, 463 52 Osečná</w:t>
      </w:r>
      <w:r w:rsidR="004D033F" w:rsidRPr="005F590E">
        <w:rPr>
          <w:rFonts w:ascii="Arial" w:eastAsia="Dotum" w:hAnsi="Arial" w:cs="Arial"/>
          <w:sz w:val="21"/>
          <w:szCs w:val="21"/>
        </w:rPr>
        <w:t xml:space="preserve"> (dále jen „</w:t>
      </w:r>
      <w:r w:rsidR="004D033F" w:rsidRPr="00E66C9F">
        <w:rPr>
          <w:rFonts w:ascii="Arial" w:eastAsia="Dotum" w:hAnsi="Arial" w:cs="Arial"/>
          <w:b/>
          <w:bCs/>
          <w:sz w:val="21"/>
          <w:szCs w:val="21"/>
        </w:rPr>
        <w:t>Společnost</w:t>
      </w:r>
      <w:r w:rsidR="004D033F" w:rsidRPr="005F590E">
        <w:rPr>
          <w:rFonts w:ascii="Arial" w:eastAsia="Dotum" w:hAnsi="Arial" w:cs="Arial"/>
          <w:sz w:val="21"/>
          <w:szCs w:val="21"/>
        </w:rPr>
        <w:t>“)</w:t>
      </w:r>
      <w:r w:rsidRPr="005F590E">
        <w:rPr>
          <w:rFonts w:ascii="Arial" w:eastAsia="Dotum" w:hAnsi="Arial" w:cs="Arial"/>
          <w:sz w:val="21"/>
          <w:szCs w:val="21"/>
        </w:rPr>
        <w:t>,</w:t>
      </w:r>
      <w:r w:rsidR="005F590E">
        <w:rPr>
          <w:rFonts w:ascii="Arial" w:eastAsia="Dotum" w:hAnsi="Arial" w:cs="Arial"/>
          <w:sz w:val="21"/>
          <w:szCs w:val="21"/>
        </w:rPr>
        <w:t xml:space="preserve"> tímto, jako povinný subjekt, </w:t>
      </w:r>
      <w:r w:rsidRPr="005F590E">
        <w:rPr>
          <w:rFonts w:ascii="Arial" w:eastAsia="Dotum" w:hAnsi="Arial" w:cs="Arial"/>
          <w:sz w:val="21"/>
          <w:szCs w:val="21"/>
        </w:rPr>
        <w:t>plní své povinnosti plynoucí j</w:t>
      </w:r>
      <w:r w:rsidR="00060B37" w:rsidRPr="005F590E">
        <w:rPr>
          <w:rFonts w:ascii="Arial" w:eastAsia="Dotum" w:hAnsi="Arial" w:cs="Arial"/>
          <w:sz w:val="21"/>
          <w:szCs w:val="21"/>
        </w:rPr>
        <w:t>í</w:t>
      </w:r>
      <w:r w:rsidRPr="005F590E">
        <w:rPr>
          <w:rFonts w:ascii="Arial" w:eastAsia="Dotum" w:hAnsi="Arial" w:cs="Arial"/>
          <w:sz w:val="21"/>
          <w:szCs w:val="21"/>
        </w:rPr>
        <w:t xml:space="preserve"> ze zákona č. 171/2023 Sb., o ochraně oznamovatelů (dále jen „</w:t>
      </w:r>
      <w:r w:rsidRPr="00E66C9F">
        <w:rPr>
          <w:rFonts w:ascii="Arial" w:eastAsia="Dotum" w:hAnsi="Arial" w:cs="Arial"/>
          <w:b/>
          <w:bCs/>
          <w:sz w:val="21"/>
          <w:szCs w:val="21"/>
        </w:rPr>
        <w:t>ZZOO</w:t>
      </w:r>
      <w:r w:rsidRPr="005F590E">
        <w:rPr>
          <w:rFonts w:ascii="Arial" w:eastAsia="Dotum" w:hAnsi="Arial" w:cs="Arial"/>
          <w:sz w:val="21"/>
          <w:szCs w:val="21"/>
        </w:rPr>
        <w:t xml:space="preserve">“), který implementuje směrnici Evropského parlamentu a Rady (EU) 2019/1937 z 23. října 2019 o ochraně osob, které oznamují porušení práva Unie. </w:t>
      </w:r>
    </w:p>
    <w:p w14:paraId="0EE9D218" w14:textId="6187C391" w:rsidR="00305EC1" w:rsidRPr="005F590E" w:rsidRDefault="00305EC1" w:rsidP="00F369B6">
      <w:pPr>
        <w:pStyle w:val="Odstavecseseznamem"/>
        <w:numPr>
          <w:ilvl w:val="0"/>
          <w:numId w:val="1"/>
        </w:numPr>
        <w:spacing w:after="120"/>
        <w:contextualSpacing w:val="0"/>
        <w:jc w:val="center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OZNÁMENÍ</w:t>
      </w:r>
    </w:p>
    <w:p w14:paraId="2626E29A" w14:textId="2C4261DF" w:rsidR="00305EC1" w:rsidRPr="005F590E" w:rsidRDefault="00305EC1" w:rsidP="00F369B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Oznámením je poskytnutí informací o možném protiprávním jednání, k němuž došlo nebo má dojít u osoby, pro niž oznamovatel, byť zprostředkovaně, vykonával nebo vykonává práci nebo jinou obdobnou činnost, nebo u osoby, se kterou oznamovatel byl nebo je v kontaktu v souvislosti s výkonem práce nebo jiné obdobné činnosti a které i) má znaky trestného činu, ii) znaky přestupku, za který zákon stanoví sazbu pokuty, jejíž horní hranice je alespoň 100</w:t>
      </w:r>
      <w:r w:rsidR="00E66C9F">
        <w:rPr>
          <w:rFonts w:ascii="Arial" w:eastAsia="Dotum" w:hAnsi="Arial" w:cs="Arial"/>
          <w:sz w:val="21"/>
          <w:szCs w:val="21"/>
        </w:rPr>
        <w:t>.</w:t>
      </w:r>
      <w:r w:rsidRPr="005F590E">
        <w:rPr>
          <w:rFonts w:ascii="Arial" w:eastAsia="Dotum" w:hAnsi="Arial" w:cs="Arial"/>
          <w:sz w:val="21"/>
          <w:szCs w:val="21"/>
        </w:rPr>
        <w:t xml:space="preserve">000 Kč, </w:t>
      </w:r>
      <w:proofErr w:type="spellStart"/>
      <w:r w:rsidRPr="005F590E">
        <w:rPr>
          <w:rFonts w:ascii="Arial" w:eastAsia="Dotum" w:hAnsi="Arial" w:cs="Arial"/>
          <w:sz w:val="21"/>
          <w:szCs w:val="21"/>
        </w:rPr>
        <w:t>iii</w:t>
      </w:r>
      <w:proofErr w:type="spellEnd"/>
      <w:r w:rsidRPr="005F590E">
        <w:rPr>
          <w:rFonts w:ascii="Arial" w:eastAsia="Dotum" w:hAnsi="Arial" w:cs="Arial"/>
          <w:sz w:val="21"/>
          <w:szCs w:val="21"/>
        </w:rPr>
        <w:t>) porušuje ZZOO nebo porušuje jiný právní předpis z oblastí vyjmenovaných v § 2 odst. 1 písm. d) ZZOO</w:t>
      </w:r>
      <w:r w:rsidR="00623E72" w:rsidRPr="005F590E">
        <w:rPr>
          <w:rFonts w:ascii="Arial" w:eastAsia="Dotum" w:hAnsi="Arial" w:cs="Arial"/>
          <w:sz w:val="21"/>
          <w:szCs w:val="21"/>
        </w:rPr>
        <w:t xml:space="preserve"> (souhrnně dále jen „</w:t>
      </w:r>
      <w:r w:rsidR="00623E72" w:rsidRPr="00E66C9F">
        <w:rPr>
          <w:rFonts w:ascii="Arial" w:eastAsia="Dotum" w:hAnsi="Arial" w:cs="Arial"/>
          <w:b/>
          <w:bCs/>
          <w:sz w:val="21"/>
          <w:szCs w:val="21"/>
        </w:rPr>
        <w:t>Oznámení</w:t>
      </w:r>
      <w:r w:rsidR="00623E72" w:rsidRPr="005F590E">
        <w:rPr>
          <w:rFonts w:ascii="Arial" w:eastAsia="Dotum" w:hAnsi="Arial" w:cs="Arial"/>
          <w:sz w:val="21"/>
          <w:szCs w:val="21"/>
        </w:rPr>
        <w:t>“)</w:t>
      </w:r>
    </w:p>
    <w:p w14:paraId="5D8EC5EE" w14:textId="089549BD" w:rsidR="00305EC1" w:rsidRPr="005F590E" w:rsidRDefault="004D033F" w:rsidP="00F369B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 xml:space="preserve">Jestliže má oznamovatel oprávněné důvody se domnívat, že je </w:t>
      </w:r>
      <w:r w:rsidR="00623E72" w:rsidRPr="005F590E">
        <w:rPr>
          <w:rFonts w:ascii="Arial" w:eastAsia="Dotum" w:hAnsi="Arial" w:cs="Arial"/>
          <w:sz w:val="21"/>
          <w:szCs w:val="21"/>
        </w:rPr>
        <w:t>O</w:t>
      </w:r>
      <w:r w:rsidRPr="005F590E">
        <w:rPr>
          <w:rFonts w:ascii="Arial" w:eastAsia="Dotum" w:hAnsi="Arial" w:cs="Arial"/>
          <w:sz w:val="21"/>
          <w:szCs w:val="21"/>
        </w:rPr>
        <w:t xml:space="preserve">známení nezbytné pro odhalení protiprávního jednání podle § 2 odst. 1 ZZOO, není </w:t>
      </w:r>
      <w:r w:rsidR="00623E72" w:rsidRPr="005F590E">
        <w:rPr>
          <w:rFonts w:ascii="Arial" w:eastAsia="Dotum" w:hAnsi="Arial" w:cs="Arial"/>
          <w:sz w:val="21"/>
          <w:szCs w:val="21"/>
        </w:rPr>
        <w:t>O</w:t>
      </w:r>
      <w:r w:rsidRPr="005F590E">
        <w:rPr>
          <w:rFonts w:ascii="Arial" w:eastAsia="Dotum" w:hAnsi="Arial" w:cs="Arial"/>
          <w:sz w:val="21"/>
          <w:szCs w:val="21"/>
        </w:rPr>
        <w:t>známení porušením bankovního tajemství, smluvní povinnosti zachovávat mlčenlivost, povinnosti zachovávat mlčenlivost podle daňového řádu ani povinnosti zachovávat mlčenlivost podle jiných právních předpisů upravujících práci nebo jinou obdobnou činnost, s</w:t>
      </w:r>
      <w:r w:rsidR="00623E72" w:rsidRPr="005F590E">
        <w:rPr>
          <w:rFonts w:ascii="Arial" w:eastAsia="Dotum" w:hAnsi="Arial" w:cs="Arial"/>
          <w:sz w:val="21"/>
          <w:szCs w:val="21"/>
        </w:rPr>
        <w:t> </w:t>
      </w:r>
      <w:r w:rsidRPr="005F590E">
        <w:rPr>
          <w:rFonts w:ascii="Arial" w:eastAsia="Dotum" w:hAnsi="Arial" w:cs="Arial"/>
          <w:sz w:val="21"/>
          <w:szCs w:val="21"/>
        </w:rPr>
        <w:t xml:space="preserve">výjimkami uvedenými v § 3 odst. 1 </w:t>
      </w:r>
      <w:r w:rsidR="00060B37" w:rsidRPr="005F590E">
        <w:rPr>
          <w:rFonts w:ascii="Arial" w:eastAsia="Dotum" w:hAnsi="Arial" w:cs="Arial"/>
          <w:sz w:val="21"/>
          <w:szCs w:val="21"/>
        </w:rPr>
        <w:t xml:space="preserve">a) až d) </w:t>
      </w:r>
      <w:r w:rsidRPr="005F590E">
        <w:rPr>
          <w:rFonts w:ascii="Arial" w:eastAsia="Dotum" w:hAnsi="Arial" w:cs="Arial"/>
          <w:sz w:val="21"/>
          <w:szCs w:val="21"/>
        </w:rPr>
        <w:t>ZZOO, zejména s</w:t>
      </w:r>
      <w:r w:rsidR="00623E72" w:rsidRPr="005F590E">
        <w:rPr>
          <w:rFonts w:ascii="Arial" w:eastAsia="Dotum" w:hAnsi="Arial" w:cs="Arial"/>
          <w:sz w:val="21"/>
          <w:szCs w:val="21"/>
        </w:rPr>
        <w:t> </w:t>
      </w:r>
      <w:r w:rsidRPr="005F590E">
        <w:rPr>
          <w:rFonts w:ascii="Arial" w:eastAsia="Dotum" w:hAnsi="Arial" w:cs="Arial"/>
          <w:sz w:val="21"/>
          <w:szCs w:val="21"/>
        </w:rPr>
        <w:t xml:space="preserve">výjimkou povinnosti zachovávat mlčenlivost při poskytování zdravotních služeb, </w:t>
      </w:r>
      <w:r w:rsidR="00060B37" w:rsidRPr="005F590E">
        <w:rPr>
          <w:rFonts w:ascii="Arial" w:eastAsia="Dotum" w:hAnsi="Arial" w:cs="Arial"/>
          <w:sz w:val="21"/>
          <w:szCs w:val="21"/>
        </w:rPr>
        <w:t>k čemuž v rámci činnosti Společnosti dochází</w:t>
      </w:r>
      <w:r w:rsidRPr="005F590E">
        <w:rPr>
          <w:rFonts w:ascii="Arial" w:eastAsia="Dotum" w:hAnsi="Arial" w:cs="Arial"/>
          <w:sz w:val="21"/>
          <w:szCs w:val="21"/>
        </w:rPr>
        <w:t>.</w:t>
      </w:r>
    </w:p>
    <w:p w14:paraId="67CC7B58" w14:textId="1450431A" w:rsidR="004B5A91" w:rsidRPr="005F590E" w:rsidRDefault="004B5A91" w:rsidP="00F369B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  <w:u w:val="single"/>
        </w:rPr>
        <w:t>Anonymní Oznámení</w:t>
      </w:r>
      <w:r w:rsidRPr="005F590E">
        <w:rPr>
          <w:rFonts w:ascii="Arial" w:eastAsia="Dotum" w:hAnsi="Arial" w:cs="Arial"/>
          <w:sz w:val="21"/>
          <w:szCs w:val="21"/>
        </w:rPr>
        <w:t xml:space="preserve">. Nebude-li možné z Oznámení seznat totožnost oznamovatele </w:t>
      </w:r>
      <w:r w:rsidR="00D73076" w:rsidRPr="005F590E">
        <w:rPr>
          <w:rFonts w:ascii="Arial" w:eastAsia="Dotum" w:hAnsi="Arial" w:cs="Arial"/>
          <w:sz w:val="21"/>
          <w:szCs w:val="21"/>
        </w:rPr>
        <w:t>a nebude-li ani zřejmá podle § 2 odst. 2 ZZOO, považuje Společnost takové Oznámení za anonymní (dále jen „</w:t>
      </w:r>
      <w:r w:rsidR="00D73076" w:rsidRPr="00E66C9F">
        <w:rPr>
          <w:rFonts w:ascii="Arial" w:eastAsia="Dotum" w:hAnsi="Arial" w:cs="Arial"/>
          <w:b/>
          <w:bCs/>
          <w:sz w:val="21"/>
          <w:szCs w:val="21"/>
        </w:rPr>
        <w:t>Anonymní Oznámení</w:t>
      </w:r>
      <w:r w:rsidR="00D73076" w:rsidRPr="005F590E">
        <w:rPr>
          <w:rFonts w:ascii="Arial" w:eastAsia="Dotum" w:hAnsi="Arial" w:cs="Arial"/>
          <w:sz w:val="21"/>
          <w:szCs w:val="21"/>
        </w:rPr>
        <w:t>“)</w:t>
      </w:r>
      <w:r w:rsidRPr="005F590E">
        <w:rPr>
          <w:rFonts w:ascii="Arial" w:eastAsia="Dotum" w:hAnsi="Arial" w:cs="Arial"/>
          <w:sz w:val="21"/>
          <w:szCs w:val="21"/>
        </w:rPr>
        <w:t xml:space="preserve"> </w:t>
      </w:r>
    </w:p>
    <w:p w14:paraId="277A1AAA" w14:textId="7225E6FD" w:rsidR="004D033F" w:rsidRPr="005F590E" w:rsidRDefault="00623E72" w:rsidP="00F369B6">
      <w:pPr>
        <w:pStyle w:val="Odstavecseseznamem"/>
        <w:numPr>
          <w:ilvl w:val="0"/>
          <w:numId w:val="1"/>
        </w:numPr>
        <w:spacing w:before="360" w:after="120"/>
        <w:contextualSpacing w:val="0"/>
        <w:jc w:val="center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ZPŮSOB OZNAMOVÁNÍ</w:t>
      </w:r>
    </w:p>
    <w:p w14:paraId="3D2CC11E" w14:textId="1C04DD21" w:rsidR="00623E72" w:rsidRPr="005F590E" w:rsidRDefault="00623E72" w:rsidP="00F369B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Ochrana podle ZZOO náleží oznamovateli, který Oznámení:</w:t>
      </w:r>
    </w:p>
    <w:p w14:paraId="217CD644" w14:textId="17F50B0C" w:rsidR="00623E72" w:rsidRPr="005F590E" w:rsidRDefault="00623E72" w:rsidP="00F369B6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podá prostřednictvím vnitřního oznamovacího systému;</w:t>
      </w:r>
    </w:p>
    <w:p w14:paraId="52DC60E7" w14:textId="347A2325" w:rsidR="00623E72" w:rsidRPr="005F590E" w:rsidRDefault="00623E72" w:rsidP="00F369B6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podá u Ministerstva spravedlnosti;</w:t>
      </w:r>
    </w:p>
    <w:p w14:paraId="7FA9468F" w14:textId="2E4E1202" w:rsidR="00623E72" w:rsidRPr="005F590E" w:rsidRDefault="00623E72" w:rsidP="00F369B6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uveřejní za podmínek stanovených v § 7 odst. 1 písm. c) ZZOO.</w:t>
      </w:r>
    </w:p>
    <w:p w14:paraId="4DE74A93" w14:textId="1466BDBD" w:rsidR="00623E72" w:rsidRPr="005F590E" w:rsidRDefault="00623E72" w:rsidP="00F369B6">
      <w:pPr>
        <w:pStyle w:val="Odstavecseseznamem"/>
        <w:numPr>
          <w:ilvl w:val="0"/>
          <w:numId w:val="1"/>
        </w:numPr>
        <w:spacing w:before="360" w:after="120"/>
        <w:contextualSpacing w:val="0"/>
        <w:jc w:val="center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VITŘNÍ OZNAMOVACÍ SYSTÉM</w:t>
      </w:r>
    </w:p>
    <w:p w14:paraId="153FC846" w14:textId="68BEA5ED" w:rsidR="00F369B6" w:rsidRPr="005F590E" w:rsidRDefault="00623E72" w:rsidP="001A118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  <w:u w:val="single"/>
        </w:rPr>
      </w:pPr>
      <w:r w:rsidRPr="005F590E">
        <w:rPr>
          <w:rFonts w:ascii="Arial" w:eastAsia="Dotum" w:hAnsi="Arial" w:cs="Arial"/>
          <w:sz w:val="21"/>
          <w:szCs w:val="21"/>
          <w:u w:val="single"/>
        </w:rPr>
        <w:t>Příslušná osoba</w:t>
      </w:r>
      <w:r w:rsidR="001A118D" w:rsidRPr="005F590E">
        <w:rPr>
          <w:rFonts w:ascii="Arial" w:eastAsia="Dotum" w:hAnsi="Arial" w:cs="Arial"/>
          <w:sz w:val="21"/>
          <w:szCs w:val="21"/>
        </w:rPr>
        <w:t xml:space="preserve">. </w:t>
      </w:r>
      <w:r w:rsidRPr="005F590E">
        <w:rPr>
          <w:rFonts w:ascii="Arial" w:eastAsia="Dotum" w:hAnsi="Arial" w:cs="Arial"/>
          <w:sz w:val="21"/>
          <w:szCs w:val="21"/>
        </w:rPr>
        <w:t xml:space="preserve">Příslušnou osobou ve smyslu § 10 ZZOO určuje Společnost paní </w:t>
      </w:r>
      <w:r w:rsidR="00E66C9F" w:rsidRPr="00E66C9F">
        <w:rPr>
          <w:rFonts w:ascii="Arial" w:eastAsia="Dotum" w:hAnsi="Arial" w:cs="Arial"/>
          <w:b/>
          <w:bCs/>
          <w:sz w:val="21"/>
          <w:szCs w:val="21"/>
        </w:rPr>
        <w:t>Irena Glatzová</w:t>
      </w:r>
      <w:r w:rsidR="00E66C9F" w:rsidRPr="005F590E">
        <w:rPr>
          <w:rFonts w:ascii="Arial" w:eastAsia="Dotum" w:hAnsi="Arial" w:cs="Arial"/>
          <w:sz w:val="21"/>
          <w:szCs w:val="21"/>
        </w:rPr>
        <w:t xml:space="preserve"> </w:t>
      </w:r>
      <w:r w:rsidR="00F369B6" w:rsidRPr="005F590E">
        <w:rPr>
          <w:rFonts w:ascii="Arial" w:eastAsia="Dotum" w:hAnsi="Arial" w:cs="Arial"/>
          <w:sz w:val="21"/>
          <w:szCs w:val="21"/>
        </w:rPr>
        <w:t>(dále jen „</w:t>
      </w:r>
      <w:r w:rsidR="00F369B6" w:rsidRPr="00E66C9F">
        <w:rPr>
          <w:rFonts w:ascii="Arial" w:eastAsia="Dotum" w:hAnsi="Arial" w:cs="Arial"/>
          <w:b/>
          <w:bCs/>
          <w:sz w:val="21"/>
          <w:szCs w:val="21"/>
        </w:rPr>
        <w:t>Příslušná osoba</w:t>
      </w:r>
      <w:r w:rsidR="00F369B6" w:rsidRPr="005F590E">
        <w:rPr>
          <w:rFonts w:ascii="Arial" w:eastAsia="Dotum" w:hAnsi="Arial" w:cs="Arial"/>
          <w:sz w:val="21"/>
          <w:szCs w:val="21"/>
        </w:rPr>
        <w:t>“)</w:t>
      </w:r>
      <w:r w:rsidRPr="005F590E">
        <w:rPr>
          <w:rFonts w:ascii="Arial" w:eastAsia="Dotum" w:hAnsi="Arial" w:cs="Arial"/>
          <w:sz w:val="21"/>
          <w:szCs w:val="21"/>
        </w:rPr>
        <w:t>.</w:t>
      </w:r>
      <w:r w:rsidR="00F369B6" w:rsidRPr="005F590E">
        <w:rPr>
          <w:rFonts w:ascii="Arial" w:eastAsia="Dotum" w:hAnsi="Arial" w:cs="Arial"/>
          <w:sz w:val="21"/>
          <w:szCs w:val="21"/>
        </w:rPr>
        <w:t xml:space="preserve"> Kontaktní údaje Příslušné osoby jsou:</w:t>
      </w:r>
    </w:p>
    <w:p w14:paraId="698F27BC" w14:textId="5FCE22AA" w:rsidR="00F369B6" w:rsidRPr="005F590E" w:rsidRDefault="00F369B6" w:rsidP="001A118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 xml:space="preserve">e-mailová adresa: </w:t>
      </w:r>
      <w:r w:rsidR="0072669D">
        <w:rPr>
          <w:rFonts w:ascii="Arial" w:eastAsia="Dotum" w:hAnsi="Arial" w:cs="Arial"/>
          <w:sz w:val="21"/>
          <w:szCs w:val="21"/>
        </w:rPr>
        <w:t>glatzova@laznekundratice.cz</w:t>
      </w:r>
    </w:p>
    <w:p w14:paraId="156EAA46" w14:textId="31984F7F" w:rsidR="00F369B6" w:rsidRPr="005F590E" w:rsidRDefault="00F369B6" w:rsidP="001A118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 xml:space="preserve">telefonní číslo </w:t>
      </w:r>
      <w:r w:rsidR="0072669D">
        <w:rPr>
          <w:rFonts w:ascii="Arial" w:eastAsia="Dotum" w:hAnsi="Arial" w:cs="Arial"/>
          <w:sz w:val="21"/>
          <w:szCs w:val="21"/>
        </w:rPr>
        <w:t>485 344 204, 774 434 116</w:t>
      </w:r>
    </w:p>
    <w:p w14:paraId="6651C07B" w14:textId="4F49A2CA" w:rsidR="00F369B6" w:rsidRPr="005F590E" w:rsidRDefault="00F369B6" w:rsidP="001A118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 xml:space="preserve">adresa pro doručování: </w:t>
      </w:r>
      <w:r w:rsidRPr="00E66C9F">
        <w:rPr>
          <w:rFonts w:ascii="Arial" w:eastAsia="Dotum" w:hAnsi="Arial" w:cs="Arial"/>
          <w:i/>
          <w:iCs/>
          <w:sz w:val="21"/>
          <w:szCs w:val="21"/>
        </w:rPr>
        <w:t>Lázeňská 134, Lázně Kundratice, 463 52 Osečná</w:t>
      </w:r>
      <w:r w:rsidR="00E66C9F" w:rsidRPr="00E66C9F">
        <w:rPr>
          <w:rFonts w:ascii="Arial" w:eastAsia="Dotum" w:hAnsi="Arial" w:cs="Arial"/>
          <w:i/>
          <w:iCs/>
          <w:sz w:val="21"/>
          <w:szCs w:val="21"/>
        </w:rPr>
        <w:t xml:space="preserve">, k rukám Ireny </w:t>
      </w:r>
      <w:proofErr w:type="spellStart"/>
      <w:r w:rsidR="00E66C9F" w:rsidRPr="00E66C9F">
        <w:rPr>
          <w:rFonts w:ascii="Arial" w:eastAsia="Dotum" w:hAnsi="Arial" w:cs="Arial"/>
          <w:i/>
          <w:iCs/>
          <w:sz w:val="21"/>
          <w:szCs w:val="21"/>
        </w:rPr>
        <w:t>Glatzové</w:t>
      </w:r>
      <w:proofErr w:type="spellEnd"/>
      <w:r w:rsidR="00E66C9F" w:rsidRPr="00E66C9F">
        <w:rPr>
          <w:rFonts w:ascii="Arial" w:eastAsia="Dotum" w:hAnsi="Arial" w:cs="Arial"/>
          <w:i/>
          <w:iCs/>
          <w:sz w:val="21"/>
          <w:szCs w:val="21"/>
        </w:rPr>
        <w:t>.</w:t>
      </w:r>
    </w:p>
    <w:p w14:paraId="2EF81A8D" w14:textId="629B21A6" w:rsidR="00623E72" w:rsidRPr="005F590E" w:rsidRDefault="00623E72" w:rsidP="001A118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  <w:u w:val="single"/>
        </w:rPr>
      </w:pPr>
      <w:r w:rsidRPr="005F590E">
        <w:rPr>
          <w:rFonts w:ascii="Arial" w:eastAsia="Dotum" w:hAnsi="Arial" w:cs="Arial"/>
          <w:sz w:val="21"/>
          <w:szCs w:val="21"/>
          <w:u w:val="single"/>
        </w:rPr>
        <w:t>Způsob</w:t>
      </w:r>
      <w:r w:rsidR="002650BC" w:rsidRPr="005F590E">
        <w:rPr>
          <w:rFonts w:ascii="Arial" w:eastAsia="Dotum" w:hAnsi="Arial" w:cs="Arial"/>
          <w:sz w:val="21"/>
          <w:szCs w:val="21"/>
          <w:u w:val="single"/>
        </w:rPr>
        <w:t xml:space="preserve"> </w:t>
      </w:r>
      <w:r w:rsidRPr="005F590E">
        <w:rPr>
          <w:rFonts w:ascii="Arial" w:eastAsia="Dotum" w:hAnsi="Arial" w:cs="Arial"/>
          <w:sz w:val="21"/>
          <w:szCs w:val="21"/>
          <w:u w:val="single"/>
        </w:rPr>
        <w:t>Oznámení</w:t>
      </w:r>
      <w:r w:rsidR="001A118D" w:rsidRPr="005F590E">
        <w:rPr>
          <w:rFonts w:ascii="Arial" w:eastAsia="Dotum" w:hAnsi="Arial" w:cs="Arial"/>
          <w:sz w:val="21"/>
          <w:szCs w:val="21"/>
        </w:rPr>
        <w:t xml:space="preserve">. </w:t>
      </w:r>
      <w:r w:rsidRPr="005F590E">
        <w:rPr>
          <w:rFonts w:ascii="Arial" w:eastAsia="Dotum" w:hAnsi="Arial" w:cs="Arial"/>
          <w:sz w:val="21"/>
          <w:szCs w:val="21"/>
        </w:rPr>
        <w:t>Oznamovatel je oprávněn učinit Oznámení prostřednictvím vnitřního oznamovacího systému i) písemně</w:t>
      </w:r>
      <w:r w:rsidR="00060B37" w:rsidRPr="005F590E">
        <w:rPr>
          <w:rFonts w:ascii="Arial" w:eastAsia="Dotum" w:hAnsi="Arial" w:cs="Arial"/>
          <w:sz w:val="21"/>
          <w:szCs w:val="21"/>
        </w:rPr>
        <w:t xml:space="preserve"> nebo</w:t>
      </w:r>
      <w:r w:rsidRPr="005F590E">
        <w:rPr>
          <w:rFonts w:ascii="Arial" w:eastAsia="Dotum" w:hAnsi="Arial" w:cs="Arial"/>
          <w:sz w:val="21"/>
          <w:szCs w:val="21"/>
        </w:rPr>
        <w:t xml:space="preserve"> </w:t>
      </w:r>
      <w:proofErr w:type="spellStart"/>
      <w:r w:rsidRPr="005F590E">
        <w:rPr>
          <w:rFonts w:ascii="Arial" w:eastAsia="Dotum" w:hAnsi="Arial" w:cs="Arial"/>
          <w:sz w:val="21"/>
          <w:szCs w:val="21"/>
        </w:rPr>
        <w:t>ii</w:t>
      </w:r>
      <w:proofErr w:type="spellEnd"/>
      <w:r w:rsidRPr="005F590E">
        <w:rPr>
          <w:rFonts w:ascii="Arial" w:eastAsia="Dotum" w:hAnsi="Arial" w:cs="Arial"/>
          <w:sz w:val="21"/>
          <w:szCs w:val="21"/>
        </w:rPr>
        <w:t xml:space="preserve">) ústně </w:t>
      </w:r>
      <w:r w:rsidR="00060B37" w:rsidRPr="005F590E">
        <w:rPr>
          <w:rFonts w:ascii="Arial" w:eastAsia="Dotum" w:hAnsi="Arial" w:cs="Arial"/>
          <w:sz w:val="21"/>
          <w:szCs w:val="21"/>
        </w:rPr>
        <w:t>(</w:t>
      </w:r>
      <w:r w:rsidRPr="005F590E">
        <w:rPr>
          <w:rFonts w:ascii="Arial" w:eastAsia="Dotum" w:hAnsi="Arial" w:cs="Arial"/>
          <w:sz w:val="21"/>
          <w:szCs w:val="21"/>
        </w:rPr>
        <w:t>osobně</w:t>
      </w:r>
      <w:r w:rsidR="00F369B6" w:rsidRPr="005F590E">
        <w:rPr>
          <w:rFonts w:ascii="Arial" w:eastAsia="Dotum" w:hAnsi="Arial" w:cs="Arial"/>
          <w:sz w:val="21"/>
          <w:szCs w:val="21"/>
        </w:rPr>
        <w:t xml:space="preserve"> nebo telefonicky</w:t>
      </w:r>
      <w:r w:rsidR="00060B37" w:rsidRPr="005F590E">
        <w:rPr>
          <w:rFonts w:ascii="Arial" w:eastAsia="Dotum" w:hAnsi="Arial" w:cs="Arial"/>
          <w:sz w:val="21"/>
          <w:szCs w:val="21"/>
        </w:rPr>
        <w:t>)</w:t>
      </w:r>
      <w:r w:rsidR="002650BC" w:rsidRPr="005F590E">
        <w:rPr>
          <w:rFonts w:ascii="Arial" w:eastAsia="Dotum" w:hAnsi="Arial" w:cs="Arial"/>
          <w:sz w:val="21"/>
          <w:szCs w:val="21"/>
        </w:rPr>
        <w:t>:</w:t>
      </w:r>
    </w:p>
    <w:p w14:paraId="648F8817" w14:textId="017F20F3" w:rsidR="00623E72" w:rsidRPr="005F590E" w:rsidRDefault="00623E72" w:rsidP="00F369B6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Písemně je oznamovatel oprávněn učinit Oznámení v listinné podobě a zaslat jej k rukám Příslušné osoby, případně jej učinit elektronicky, a to na e-mailovou adresu Příslušné osoby;</w:t>
      </w:r>
    </w:p>
    <w:p w14:paraId="64113372" w14:textId="464DAC10" w:rsidR="00623E72" w:rsidRPr="005F590E" w:rsidRDefault="00623E72" w:rsidP="00F369B6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Ústně je oznamovatel oprávněn učinit Oznámení telefonicky</w:t>
      </w:r>
      <w:r w:rsidR="00F369B6" w:rsidRPr="005F590E">
        <w:rPr>
          <w:rFonts w:ascii="Arial" w:eastAsia="Dotum" w:hAnsi="Arial" w:cs="Arial"/>
          <w:sz w:val="21"/>
          <w:szCs w:val="21"/>
        </w:rPr>
        <w:t xml:space="preserve"> na </w:t>
      </w:r>
      <w:r w:rsidR="00060B37" w:rsidRPr="005F590E">
        <w:rPr>
          <w:rFonts w:ascii="Arial" w:eastAsia="Dotum" w:hAnsi="Arial" w:cs="Arial"/>
          <w:sz w:val="21"/>
          <w:szCs w:val="21"/>
        </w:rPr>
        <w:t xml:space="preserve">telefonním </w:t>
      </w:r>
      <w:r w:rsidR="00F369B6" w:rsidRPr="005F590E">
        <w:rPr>
          <w:rFonts w:ascii="Arial" w:eastAsia="Dotum" w:hAnsi="Arial" w:cs="Arial"/>
          <w:sz w:val="21"/>
          <w:szCs w:val="21"/>
        </w:rPr>
        <w:t>čísle</w:t>
      </w:r>
      <w:r w:rsidR="00060B37" w:rsidRPr="005F590E">
        <w:rPr>
          <w:rFonts w:ascii="Arial" w:eastAsia="Dotum" w:hAnsi="Arial" w:cs="Arial"/>
          <w:sz w:val="21"/>
          <w:szCs w:val="21"/>
        </w:rPr>
        <w:t xml:space="preserve"> </w:t>
      </w:r>
      <w:r w:rsidR="00F369B6" w:rsidRPr="005F590E">
        <w:rPr>
          <w:rFonts w:ascii="Arial" w:eastAsia="Dotum" w:hAnsi="Arial" w:cs="Arial"/>
          <w:sz w:val="21"/>
          <w:szCs w:val="21"/>
        </w:rPr>
        <w:t>Příslušné osob</w:t>
      </w:r>
      <w:r w:rsidR="00060B37" w:rsidRPr="005F590E">
        <w:rPr>
          <w:rFonts w:ascii="Arial" w:eastAsia="Dotum" w:hAnsi="Arial" w:cs="Arial"/>
          <w:sz w:val="21"/>
          <w:szCs w:val="21"/>
        </w:rPr>
        <w:t>y</w:t>
      </w:r>
      <w:r w:rsidR="00F369B6" w:rsidRPr="005F590E">
        <w:rPr>
          <w:rFonts w:ascii="Arial" w:eastAsia="Dotum" w:hAnsi="Arial" w:cs="Arial"/>
          <w:sz w:val="21"/>
          <w:szCs w:val="21"/>
        </w:rPr>
        <w:t>, případně osobně, a to v sídle Společnosti</w:t>
      </w:r>
      <w:r w:rsidR="00060B37" w:rsidRPr="005F590E">
        <w:rPr>
          <w:rFonts w:ascii="Arial" w:eastAsia="Dotum" w:hAnsi="Arial" w:cs="Arial"/>
          <w:sz w:val="21"/>
          <w:szCs w:val="21"/>
        </w:rPr>
        <w:t xml:space="preserve"> (případně jiných vhodných prostorách)</w:t>
      </w:r>
      <w:r w:rsidR="00F369B6" w:rsidRPr="005F590E">
        <w:rPr>
          <w:rFonts w:ascii="Arial" w:eastAsia="Dotum" w:hAnsi="Arial" w:cs="Arial"/>
          <w:sz w:val="21"/>
          <w:szCs w:val="21"/>
        </w:rPr>
        <w:t xml:space="preserve"> při osobním setkání s Příslušnou osobou, která je povinna v přiměřené lhůtě vyhovět oznamovatelově žádosti o osobní setkání</w:t>
      </w:r>
      <w:r w:rsidR="001A118D" w:rsidRPr="005F590E">
        <w:rPr>
          <w:rFonts w:ascii="Arial" w:eastAsia="Dotum" w:hAnsi="Arial" w:cs="Arial"/>
          <w:sz w:val="21"/>
          <w:szCs w:val="21"/>
        </w:rPr>
        <w:t>, nejdéle však do 14 dní</w:t>
      </w:r>
      <w:r w:rsidR="00F369B6" w:rsidRPr="005F590E">
        <w:rPr>
          <w:rFonts w:ascii="Arial" w:eastAsia="Dotum" w:hAnsi="Arial" w:cs="Arial"/>
          <w:sz w:val="21"/>
          <w:szCs w:val="21"/>
        </w:rPr>
        <w:t>.</w:t>
      </w:r>
      <w:r w:rsidRPr="005F590E">
        <w:rPr>
          <w:rFonts w:ascii="Arial" w:eastAsia="Dotum" w:hAnsi="Arial" w:cs="Arial"/>
          <w:sz w:val="21"/>
          <w:szCs w:val="21"/>
        </w:rPr>
        <w:t xml:space="preserve"> </w:t>
      </w:r>
    </w:p>
    <w:p w14:paraId="52A4D944" w14:textId="2CCEC82B" w:rsidR="00F369B6" w:rsidRPr="005F590E" w:rsidRDefault="00F369B6" w:rsidP="001A118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  <w:u w:val="single"/>
        </w:rPr>
      </w:pPr>
      <w:r w:rsidRPr="005F590E">
        <w:rPr>
          <w:rFonts w:ascii="Arial" w:eastAsia="Dotum" w:hAnsi="Arial" w:cs="Arial"/>
          <w:sz w:val="21"/>
          <w:szCs w:val="21"/>
          <w:u w:val="single"/>
        </w:rPr>
        <w:lastRenderedPageBreak/>
        <w:t>Vyloučení Oznámení</w:t>
      </w:r>
      <w:r w:rsidR="001A118D" w:rsidRPr="005F590E">
        <w:rPr>
          <w:rFonts w:ascii="Arial" w:eastAsia="Dotum" w:hAnsi="Arial" w:cs="Arial"/>
          <w:sz w:val="21"/>
          <w:szCs w:val="21"/>
        </w:rPr>
        <w:t xml:space="preserve">. </w:t>
      </w:r>
      <w:r w:rsidRPr="005F590E">
        <w:rPr>
          <w:rFonts w:ascii="Arial" w:eastAsia="Dotum" w:hAnsi="Arial" w:cs="Arial"/>
          <w:sz w:val="21"/>
          <w:szCs w:val="21"/>
        </w:rPr>
        <w:t>Společnost si tímto vyhrazuje, že ve smyslu § 9 odst. 2 písm. b) bod 3. ZZOO, nebude přijímat prostřednictvím vnitřního oznamovacího systému Oznámení od osob, které pro Společnost nevykonávají práci nebo jinou obdobnou činnost podle § 2 odst. 3 písm. a), b), h) nebo i) ZZOO.</w:t>
      </w:r>
    </w:p>
    <w:p w14:paraId="35E18060" w14:textId="77777777" w:rsidR="001A118D" w:rsidRPr="005F590E" w:rsidRDefault="001A118D" w:rsidP="001A118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  <w:u w:val="single"/>
        </w:rPr>
      </w:pPr>
      <w:r w:rsidRPr="005F590E">
        <w:rPr>
          <w:rFonts w:ascii="Arial" w:eastAsia="Dotum" w:hAnsi="Arial" w:cs="Arial"/>
          <w:sz w:val="21"/>
          <w:szCs w:val="21"/>
          <w:u w:val="single"/>
        </w:rPr>
        <w:t>Postup po Oznámení.</w:t>
      </w:r>
    </w:p>
    <w:p w14:paraId="2E6FCA24" w14:textId="5861735C" w:rsidR="001A118D" w:rsidRPr="005F590E" w:rsidRDefault="001A118D" w:rsidP="001A118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  <w:u w:val="single"/>
        </w:rPr>
      </w:pPr>
      <w:r w:rsidRPr="005F590E">
        <w:rPr>
          <w:rFonts w:ascii="Arial" w:eastAsia="Dotum" w:hAnsi="Arial" w:cs="Arial"/>
          <w:sz w:val="21"/>
          <w:szCs w:val="21"/>
        </w:rPr>
        <w:t>Příslušná osoba je povinna do 7 dní oznamovatele vyrozumět o přijetí Oznámení.</w:t>
      </w:r>
    </w:p>
    <w:p w14:paraId="0D6E6659" w14:textId="58CDED2E" w:rsidR="001A118D" w:rsidRPr="005F590E" w:rsidRDefault="00060BC6" w:rsidP="001A118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 xml:space="preserve">Následně je Příslušná osoba povinna posoudit důvodnost </w:t>
      </w:r>
      <w:r w:rsidR="00060B37" w:rsidRPr="005F590E">
        <w:rPr>
          <w:rFonts w:ascii="Arial" w:eastAsia="Dotum" w:hAnsi="Arial" w:cs="Arial"/>
          <w:sz w:val="21"/>
          <w:szCs w:val="21"/>
        </w:rPr>
        <w:t>O</w:t>
      </w:r>
      <w:r w:rsidRPr="005F590E">
        <w:rPr>
          <w:rFonts w:ascii="Arial" w:eastAsia="Dotum" w:hAnsi="Arial" w:cs="Arial"/>
          <w:sz w:val="21"/>
          <w:szCs w:val="21"/>
        </w:rPr>
        <w:t xml:space="preserve">známení a písemně vyrozumět oznamovatele o výsledcích posouzení do 30 dnů ode dne přijetí </w:t>
      </w:r>
      <w:r w:rsidR="00060B37" w:rsidRPr="005F590E">
        <w:rPr>
          <w:rFonts w:ascii="Arial" w:eastAsia="Dotum" w:hAnsi="Arial" w:cs="Arial"/>
          <w:sz w:val="21"/>
          <w:szCs w:val="21"/>
        </w:rPr>
        <w:t>O</w:t>
      </w:r>
      <w:r w:rsidRPr="005F590E">
        <w:rPr>
          <w:rFonts w:ascii="Arial" w:eastAsia="Dotum" w:hAnsi="Arial" w:cs="Arial"/>
          <w:sz w:val="21"/>
          <w:szCs w:val="21"/>
        </w:rPr>
        <w:t xml:space="preserve">známení. Tuto lhůtu lze </w:t>
      </w:r>
      <w:r w:rsidR="00060B37" w:rsidRPr="005F590E">
        <w:rPr>
          <w:rFonts w:ascii="Arial" w:eastAsia="Dotum" w:hAnsi="Arial" w:cs="Arial"/>
          <w:sz w:val="21"/>
          <w:szCs w:val="21"/>
        </w:rPr>
        <w:t xml:space="preserve">v případech skutkově nebo právně složitých </w:t>
      </w:r>
      <w:r w:rsidRPr="005F590E">
        <w:rPr>
          <w:rFonts w:ascii="Arial" w:eastAsia="Dotum" w:hAnsi="Arial" w:cs="Arial"/>
          <w:sz w:val="21"/>
          <w:szCs w:val="21"/>
        </w:rPr>
        <w:t>prodloužit o dalších 30 dní, a to maximálně dvakrát</w:t>
      </w:r>
      <w:r w:rsidR="00060B37" w:rsidRPr="005F590E">
        <w:rPr>
          <w:rFonts w:ascii="Arial" w:eastAsia="Dotum" w:hAnsi="Arial" w:cs="Arial"/>
          <w:sz w:val="21"/>
          <w:szCs w:val="21"/>
        </w:rPr>
        <w:t>.</w:t>
      </w:r>
    </w:p>
    <w:p w14:paraId="47CF6C48" w14:textId="65D9E0BA" w:rsidR="00060BC6" w:rsidRPr="005F590E" w:rsidRDefault="00060BC6" w:rsidP="001A118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 xml:space="preserve">Dojde-li Příslušná osoba ke zjištění, že Oznámení není </w:t>
      </w:r>
      <w:r w:rsidR="00060B37" w:rsidRPr="005F590E">
        <w:rPr>
          <w:rFonts w:ascii="Arial" w:eastAsia="Dotum" w:hAnsi="Arial" w:cs="Arial"/>
          <w:sz w:val="21"/>
          <w:szCs w:val="21"/>
        </w:rPr>
        <w:t>O</w:t>
      </w:r>
      <w:r w:rsidRPr="005F590E">
        <w:rPr>
          <w:rFonts w:ascii="Arial" w:eastAsia="Dotum" w:hAnsi="Arial" w:cs="Arial"/>
          <w:sz w:val="21"/>
          <w:szCs w:val="21"/>
        </w:rPr>
        <w:t>známením ve smyslu ZZOO, vyrozumí o tom bez zbytečného odkladu oznamovatele.</w:t>
      </w:r>
    </w:p>
    <w:p w14:paraId="4E0D7140" w14:textId="10038A8D" w:rsidR="00060BC6" w:rsidRPr="005F590E" w:rsidRDefault="00060BC6" w:rsidP="001A118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Vyhodnotí-li Příslušná osoba Oznámení jako důvodné navrhne Společnosti opatření k předejití nebo nápravě protiprávního stavu. O opatření k předejití nebo nápravě pak Společnost informuje Příslušnou osobu, která o něm bez zbytečného odkladu písemně vyrozumí oznamovatele.</w:t>
      </w:r>
    </w:p>
    <w:p w14:paraId="057A5E17" w14:textId="1B4E13A6" w:rsidR="00060BC6" w:rsidRPr="005F590E" w:rsidRDefault="00060BC6" w:rsidP="001A118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Nevyhodnotí-li Příslušná osoba Oznámení jako důvodné, bez zbytečného odkladu písemně vyrozumí oznamovatele o tom, že na základě skutečností uvedených v Oznámení a z okolností, které jí jsou známy, neshledala podezření ze spáchání protiprávního jednání, nebo shledala, že oznámení se zakládá na nepravdivých informacích, a poučí oznamovatele o právu podat oznámení u orgánu veřejné moci.</w:t>
      </w:r>
    </w:p>
    <w:p w14:paraId="2230C054" w14:textId="26541C5A" w:rsidR="00D73076" w:rsidRPr="005F590E" w:rsidRDefault="00D73076" w:rsidP="00D7307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Bude-li Příslušné osobě učiněno Anonymní Oznámení, bude se jím zabývat obdobně jako jiným Oznámením. Dojde-li ke zjištění totožnosti oznamovatele Anonymního Oznámení, bude k němu Příslušná osoba nadále přistupovat jako k Oznámení podle pravidel stanovených v </w:t>
      </w:r>
      <w:r w:rsidR="00067F8D">
        <w:rPr>
          <w:rFonts w:ascii="Arial" w:eastAsia="Dotum" w:hAnsi="Arial" w:cs="Arial"/>
          <w:sz w:val="21"/>
          <w:szCs w:val="21"/>
        </w:rPr>
        <w:t>ZZOO</w:t>
      </w:r>
      <w:r w:rsidRPr="005F590E">
        <w:rPr>
          <w:rFonts w:ascii="Arial" w:eastAsia="Dotum" w:hAnsi="Arial" w:cs="Arial"/>
          <w:sz w:val="21"/>
          <w:szCs w:val="21"/>
        </w:rPr>
        <w:t xml:space="preserve"> a v tomto vnitřním oznamovacím systému.</w:t>
      </w:r>
    </w:p>
    <w:p w14:paraId="27D6307D" w14:textId="0A12E683" w:rsidR="00F369B6" w:rsidRPr="005F590E" w:rsidRDefault="00F369B6" w:rsidP="00F369B6">
      <w:pPr>
        <w:pStyle w:val="Odstavecseseznamem"/>
        <w:numPr>
          <w:ilvl w:val="0"/>
          <w:numId w:val="1"/>
        </w:numPr>
        <w:spacing w:before="360" w:after="120"/>
        <w:contextualSpacing w:val="0"/>
        <w:jc w:val="center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MINISTERSTVO SPRAVEDLNOSTI</w:t>
      </w:r>
    </w:p>
    <w:p w14:paraId="7BF56FFF" w14:textId="537DE070" w:rsidR="00F369B6" w:rsidRPr="005F590E" w:rsidRDefault="001A118D" w:rsidP="001A118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 xml:space="preserve">Oznamovatel může učinit Oznámení rovněž u Ministerstva spravedlnosti, a to ústně nebo písemně. Podrobnosti jsou k dispozici na webové stránce Ministerstva spravedlnosti </w:t>
      </w:r>
      <w:hyperlink r:id="rId8" w:history="1">
        <w:r w:rsidRPr="005F590E">
          <w:rPr>
            <w:rStyle w:val="Hypertextovodkaz"/>
            <w:rFonts w:ascii="Arial" w:eastAsia="Dotum" w:hAnsi="Arial" w:cs="Arial"/>
            <w:sz w:val="21"/>
            <w:szCs w:val="21"/>
          </w:rPr>
          <w:t>https://oznamovatel.justice.cz</w:t>
        </w:r>
      </w:hyperlink>
      <w:r w:rsidR="00060B37" w:rsidRPr="005F590E">
        <w:rPr>
          <w:rFonts w:ascii="Arial" w:eastAsia="Dotum" w:hAnsi="Arial" w:cs="Arial"/>
          <w:sz w:val="21"/>
          <w:szCs w:val="21"/>
        </w:rPr>
        <w:t>.</w:t>
      </w:r>
    </w:p>
    <w:p w14:paraId="1CD58713" w14:textId="42107A07" w:rsidR="001A118D" w:rsidRPr="005F590E" w:rsidRDefault="00060BC6" w:rsidP="001A118D">
      <w:pPr>
        <w:pStyle w:val="Odstavecseseznamem"/>
        <w:numPr>
          <w:ilvl w:val="0"/>
          <w:numId w:val="1"/>
        </w:numPr>
        <w:spacing w:before="360" w:after="120"/>
        <w:contextualSpacing w:val="0"/>
        <w:jc w:val="center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OCHRANA OZNAMOVATELE</w:t>
      </w:r>
    </w:p>
    <w:p w14:paraId="0B9358B4" w14:textId="53F7BC97" w:rsidR="00060BC6" w:rsidRPr="005F590E" w:rsidRDefault="00060BC6" w:rsidP="00060BC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Oznamovatel nesmí být po učinění Oznámení vystaven odvetným opatřením ve smyslu § 4 odst. 1 ZZOO, těmto opatřením nesmí být vystaveny ani osoby uvedené v § 4 odst. 2 písm. a) až h) ZZOO. Vznikne-li tomu, kdo nesmí být vystaven odvetnému opatření</w:t>
      </w:r>
      <w:r w:rsidR="00060B37" w:rsidRPr="005F590E">
        <w:rPr>
          <w:rFonts w:ascii="Arial" w:eastAsia="Dotum" w:hAnsi="Arial" w:cs="Arial"/>
          <w:sz w:val="21"/>
          <w:szCs w:val="21"/>
        </w:rPr>
        <w:t>, odvetným opatřením nemajetková újma, má právo na přiměřené zadostiučinění podle § 5 ZZOO.</w:t>
      </w:r>
    </w:p>
    <w:p w14:paraId="10BE0CDA" w14:textId="7A511A21" w:rsidR="004B5A91" w:rsidRPr="005F590E" w:rsidRDefault="004B5A91" w:rsidP="00060BC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Ochrana před odvetným opatřením nenáleží osobě, která učinila Oznámení, aniž měla oprávněné důvody se domnívat, že se zakládá na pravdivých informacích, tzv. vědomě nepravdivé oznámení.</w:t>
      </w:r>
    </w:p>
    <w:p w14:paraId="1A81E88B" w14:textId="5D7569DE" w:rsidR="00D73076" w:rsidRDefault="00D73076" w:rsidP="00060BC6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Arial" w:eastAsia="Dotum" w:hAnsi="Arial" w:cs="Arial"/>
          <w:sz w:val="21"/>
          <w:szCs w:val="21"/>
        </w:rPr>
      </w:pPr>
      <w:r w:rsidRPr="005F590E">
        <w:rPr>
          <w:rFonts w:ascii="Arial" w:eastAsia="Dotum" w:hAnsi="Arial" w:cs="Arial"/>
          <w:sz w:val="21"/>
          <w:szCs w:val="21"/>
        </w:rPr>
        <w:t>Oznamovatelům, kteří učinili Anonymní Oznámení je poskytována ochrana před odvetnými opatřeními</w:t>
      </w:r>
      <w:r w:rsidR="002650BC" w:rsidRPr="005F590E">
        <w:rPr>
          <w:rFonts w:ascii="Arial" w:eastAsia="Dotum" w:hAnsi="Arial" w:cs="Arial"/>
          <w:sz w:val="21"/>
          <w:szCs w:val="21"/>
        </w:rPr>
        <w:t xml:space="preserve"> </w:t>
      </w:r>
      <w:r w:rsidRPr="005F590E">
        <w:rPr>
          <w:rFonts w:ascii="Arial" w:eastAsia="Dotum" w:hAnsi="Arial" w:cs="Arial"/>
          <w:sz w:val="21"/>
          <w:szCs w:val="21"/>
        </w:rPr>
        <w:t>až od chvíle, kdy vyjde najevo jejich totožnost.</w:t>
      </w:r>
    </w:p>
    <w:p w14:paraId="61654F43" w14:textId="77777777" w:rsidR="005F590E" w:rsidRDefault="005F590E" w:rsidP="005F590E">
      <w:pPr>
        <w:spacing w:after="120"/>
        <w:jc w:val="both"/>
        <w:rPr>
          <w:rFonts w:ascii="Arial" w:eastAsia="Dotum" w:hAnsi="Arial" w:cs="Arial"/>
          <w:sz w:val="21"/>
          <w:szCs w:val="21"/>
        </w:rPr>
      </w:pPr>
    </w:p>
    <w:p w14:paraId="55D23C9C" w14:textId="77777777" w:rsidR="005F590E" w:rsidRDefault="005F590E" w:rsidP="005F590E">
      <w:pPr>
        <w:spacing w:after="120"/>
        <w:jc w:val="both"/>
        <w:rPr>
          <w:rFonts w:ascii="Arial" w:eastAsia="Dotum" w:hAnsi="Arial" w:cs="Arial"/>
          <w:sz w:val="21"/>
          <w:szCs w:val="21"/>
        </w:rPr>
      </w:pPr>
    </w:p>
    <w:p w14:paraId="4861022A" w14:textId="5BDFB70B" w:rsidR="005F590E" w:rsidRPr="005F590E" w:rsidRDefault="005F590E" w:rsidP="005F590E">
      <w:pPr>
        <w:spacing w:after="120"/>
        <w:jc w:val="both"/>
        <w:rPr>
          <w:rFonts w:ascii="Arial" w:eastAsia="Dotum" w:hAnsi="Arial" w:cs="Arial"/>
          <w:sz w:val="21"/>
          <w:szCs w:val="21"/>
        </w:rPr>
      </w:pPr>
    </w:p>
    <w:sectPr w:rsidR="005F590E" w:rsidRPr="005F59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D7AC" w14:textId="77777777" w:rsidR="00D942C5" w:rsidRDefault="00D942C5" w:rsidP="004D033F">
      <w:r>
        <w:separator/>
      </w:r>
    </w:p>
  </w:endnote>
  <w:endnote w:type="continuationSeparator" w:id="0">
    <w:p w14:paraId="24725A36" w14:textId="77777777" w:rsidR="00D942C5" w:rsidRDefault="00D942C5" w:rsidP="004D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5889" w14:textId="45DA0254" w:rsidR="00A654D0" w:rsidRPr="00A654D0" w:rsidRDefault="00A654D0">
    <w:pPr>
      <w:pStyle w:val="Zpat"/>
      <w:jc w:val="center"/>
      <w:rPr>
        <w:sz w:val="18"/>
        <w:szCs w:val="18"/>
      </w:rPr>
    </w:pPr>
    <w:r w:rsidRPr="00A654D0">
      <w:rPr>
        <w:sz w:val="18"/>
        <w:szCs w:val="18"/>
      </w:rPr>
      <w:fldChar w:fldCharType="begin"/>
    </w:r>
    <w:r w:rsidRPr="00A654D0">
      <w:rPr>
        <w:sz w:val="18"/>
        <w:szCs w:val="18"/>
      </w:rPr>
      <w:instrText>PAGE  \* Arabic  \* MERGEFORMAT</w:instrText>
    </w:r>
    <w:r w:rsidRPr="00A654D0">
      <w:rPr>
        <w:sz w:val="18"/>
        <w:szCs w:val="18"/>
      </w:rPr>
      <w:fldChar w:fldCharType="separate"/>
    </w:r>
    <w:r w:rsidRPr="00A654D0">
      <w:rPr>
        <w:sz w:val="18"/>
        <w:szCs w:val="18"/>
      </w:rPr>
      <w:t>2</w:t>
    </w:r>
    <w:r w:rsidRPr="00A654D0">
      <w:rPr>
        <w:sz w:val="18"/>
        <w:szCs w:val="18"/>
      </w:rPr>
      <w:fldChar w:fldCharType="end"/>
    </w:r>
    <w:r w:rsidRPr="00A654D0">
      <w:rPr>
        <w:sz w:val="18"/>
        <w:szCs w:val="18"/>
      </w:rPr>
      <w:t xml:space="preserve"> / </w:t>
    </w:r>
    <w:r w:rsidRPr="00A654D0">
      <w:rPr>
        <w:sz w:val="18"/>
        <w:szCs w:val="18"/>
      </w:rPr>
      <w:fldChar w:fldCharType="begin"/>
    </w:r>
    <w:r w:rsidRPr="00A654D0">
      <w:rPr>
        <w:sz w:val="18"/>
        <w:szCs w:val="18"/>
      </w:rPr>
      <w:instrText>NUMPAGES  \* Arabic  \* MERGEFORMAT</w:instrText>
    </w:r>
    <w:r w:rsidRPr="00A654D0">
      <w:rPr>
        <w:sz w:val="18"/>
        <w:szCs w:val="18"/>
      </w:rPr>
      <w:fldChar w:fldCharType="separate"/>
    </w:r>
    <w:r w:rsidRPr="00A654D0">
      <w:rPr>
        <w:sz w:val="18"/>
        <w:szCs w:val="18"/>
      </w:rPr>
      <w:t>2</w:t>
    </w:r>
    <w:r w:rsidRPr="00A654D0">
      <w:rPr>
        <w:sz w:val="18"/>
        <w:szCs w:val="18"/>
      </w:rPr>
      <w:fldChar w:fldCharType="end"/>
    </w:r>
  </w:p>
  <w:p w14:paraId="5C6AC3F0" w14:textId="77777777" w:rsidR="00A654D0" w:rsidRDefault="00A65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A0C0" w14:textId="77777777" w:rsidR="00D942C5" w:rsidRDefault="00D942C5" w:rsidP="004D033F">
      <w:r>
        <w:separator/>
      </w:r>
    </w:p>
  </w:footnote>
  <w:footnote w:type="continuationSeparator" w:id="0">
    <w:p w14:paraId="2E263D37" w14:textId="77777777" w:rsidR="00D942C5" w:rsidRDefault="00D942C5" w:rsidP="004D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F09"/>
    <w:multiLevelType w:val="multilevel"/>
    <w:tmpl w:val="3BF0E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0E1783"/>
    <w:multiLevelType w:val="multilevel"/>
    <w:tmpl w:val="9A541352"/>
    <w:styleLink w:val="Aktulnseznam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B1347A"/>
    <w:multiLevelType w:val="multilevel"/>
    <w:tmpl w:val="0405001F"/>
    <w:styleLink w:val="Aktulnsezna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111D22"/>
    <w:multiLevelType w:val="multilevel"/>
    <w:tmpl w:val="27B825D2"/>
    <w:styleLink w:val="Aktulnsezna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17BC8"/>
    <w:multiLevelType w:val="multilevel"/>
    <w:tmpl w:val="65BAE926"/>
    <w:styleLink w:val="Aktulnse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ADA"/>
    <w:multiLevelType w:val="multilevel"/>
    <w:tmpl w:val="345AE15C"/>
    <w:styleLink w:val="Aktulnseznam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765C34"/>
    <w:multiLevelType w:val="multilevel"/>
    <w:tmpl w:val="B66242D2"/>
    <w:styleLink w:val="Aktulnsezna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80563"/>
    <w:multiLevelType w:val="multilevel"/>
    <w:tmpl w:val="96329B5E"/>
    <w:styleLink w:val="Aktulnseznam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6C4800"/>
    <w:multiLevelType w:val="multilevel"/>
    <w:tmpl w:val="81C6209E"/>
    <w:styleLink w:val="Aktulnseznam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F45ED3"/>
    <w:multiLevelType w:val="multilevel"/>
    <w:tmpl w:val="B66242D2"/>
    <w:styleLink w:val="Aktulnsezna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2DEC"/>
    <w:multiLevelType w:val="multilevel"/>
    <w:tmpl w:val="F6F82F54"/>
    <w:styleLink w:val="Aktulnseznam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6F1673A"/>
    <w:multiLevelType w:val="multilevel"/>
    <w:tmpl w:val="B66242D2"/>
    <w:styleLink w:val="Aktulnsezna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07963">
    <w:abstractNumId w:val="0"/>
  </w:num>
  <w:num w:numId="2" w16cid:durableId="1861158806">
    <w:abstractNumId w:val="4"/>
  </w:num>
  <w:num w:numId="3" w16cid:durableId="1544825586">
    <w:abstractNumId w:val="3"/>
  </w:num>
  <w:num w:numId="4" w16cid:durableId="2054452887">
    <w:abstractNumId w:val="6"/>
  </w:num>
  <w:num w:numId="5" w16cid:durableId="1525750298">
    <w:abstractNumId w:val="11"/>
  </w:num>
  <w:num w:numId="6" w16cid:durableId="261569609">
    <w:abstractNumId w:val="9"/>
  </w:num>
  <w:num w:numId="7" w16cid:durableId="2012642199">
    <w:abstractNumId w:val="2"/>
  </w:num>
  <w:num w:numId="8" w16cid:durableId="14430212">
    <w:abstractNumId w:val="10"/>
  </w:num>
  <w:num w:numId="9" w16cid:durableId="2058893253">
    <w:abstractNumId w:val="5"/>
  </w:num>
  <w:num w:numId="10" w16cid:durableId="881088793">
    <w:abstractNumId w:val="1"/>
  </w:num>
  <w:num w:numId="11" w16cid:durableId="1916279657">
    <w:abstractNumId w:val="8"/>
  </w:num>
  <w:num w:numId="12" w16cid:durableId="1757633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C1"/>
    <w:rsid w:val="00060B37"/>
    <w:rsid w:val="00060BC6"/>
    <w:rsid w:val="00067F8D"/>
    <w:rsid w:val="00127223"/>
    <w:rsid w:val="001A118D"/>
    <w:rsid w:val="001E3759"/>
    <w:rsid w:val="002650BC"/>
    <w:rsid w:val="00305EC1"/>
    <w:rsid w:val="00466162"/>
    <w:rsid w:val="004B5A91"/>
    <w:rsid w:val="004D033F"/>
    <w:rsid w:val="005F590E"/>
    <w:rsid w:val="00623E72"/>
    <w:rsid w:val="006D6794"/>
    <w:rsid w:val="0072669D"/>
    <w:rsid w:val="009D1A1A"/>
    <w:rsid w:val="00A654D0"/>
    <w:rsid w:val="00D73076"/>
    <w:rsid w:val="00D942C5"/>
    <w:rsid w:val="00E66C9F"/>
    <w:rsid w:val="00F369B6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B929"/>
  <w15:chartTrackingRefBased/>
  <w15:docId w15:val="{9B203186-74A0-B449-B1F6-E4A8ED88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EC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03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03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033F"/>
    <w:rPr>
      <w:vertAlign w:val="superscript"/>
    </w:rPr>
  </w:style>
  <w:style w:type="numbering" w:customStyle="1" w:styleId="Aktulnseznam1">
    <w:name w:val="Aktuální seznam1"/>
    <w:uiPriority w:val="99"/>
    <w:rsid w:val="00F369B6"/>
    <w:pPr>
      <w:numPr>
        <w:numId w:val="2"/>
      </w:numPr>
    </w:pPr>
  </w:style>
  <w:style w:type="numbering" w:customStyle="1" w:styleId="Aktulnseznam2">
    <w:name w:val="Aktuální seznam2"/>
    <w:uiPriority w:val="99"/>
    <w:rsid w:val="00F369B6"/>
    <w:pPr>
      <w:numPr>
        <w:numId w:val="3"/>
      </w:numPr>
    </w:pPr>
  </w:style>
  <w:style w:type="numbering" w:customStyle="1" w:styleId="Aktulnseznam3">
    <w:name w:val="Aktuální seznam3"/>
    <w:uiPriority w:val="99"/>
    <w:rsid w:val="00F369B6"/>
    <w:pPr>
      <w:numPr>
        <w:numId w:val="4"/>
      </w:numPr>
    </w:pPr>
  </w:style>
  <w:style w:type="numbering" w:customStyle="1" w:styleId="Aktulnseznam4">
    <w:name w:val="Aktuální seznam4"/>
    <w:uiPriority w:val="99"/>
    <w:rsid w:val="00F369B6"/>
    <w:pPr>
      <w:numPr>
        <w:numId w:val="5"/>
      </w:numPr>
    </w:pPr>
  </w:style>
  <w:style w:type="numbering" w:customStyle="1" w:styleId="Aktulnseznam5">
    <w:name w:val="Aktuální seznam5"/>
    <w:uiPriority w:val="99"/>
    <w:rsid w:val="001A118D"/>
    <w:pPr>
      <w:numPr>
        <w:numId w:val="6"/>
      </w:numPr>
    </w:pPr>
  </w:style>
  <w:style w:type="numbering" w:customStyle="1" w:styleId="Aktulnseznam6">
    <w:name w:val="Aktuální seznam6"/>
    <w:uiPriority w:val="99"/>
    <w:rsid w:val="001A118D"/>
    <w:pPr>
      <w:numPr>
        <w:numId w:val="7"/>
      </w:numPr>
    </w:pPr>
  </w:style>
  <w:style w:type="numbering" w:customStyle="1" w:styleId="Aktulnseznam7">
    <w:name w:val="Aktuální seznam7"/>
    <w:uiPriority w:val="99"/>
    <w:rsid w:val="001A118D"/>
    <w:pPr>
      <w:numPr>
        <w:numId w:val="8"/>
      </w:numPr>
    </w:pPr>
  </w:style>
  <w:style w:type="numbering" w:customStyle="1" w:styleId="Aktulnseznam8">
    <w:name w:val="Aktuální seznam8"/>
    <w:uiPriority w:val="99"/>
    <w:rsid w:val="001A118D"/>
    <w:pPr>
      <w:numPr>
        <w:numId w:val="9"/>
      </w:numPr>
    </w:pPr>
  </w:style>
  <w:style w:type="numbering" w:customStyle="1" w:styleId="Aktulnseznam9">
    <w:name w:val="Aktuální seznam9"/>
    <w:uiPriority w:val="99"/>
    <w:rsid w:val="001A118D"/>
    <w:pPr>
      <w:numPr>
        <w:numId w:val="10"/>
      </w:numPr>
    </w:pPr>
  </w:style>
  <w:style w:type="numbering" w:customStyle="1" w:styleId="Aktulnseznam10">
    <w:name w:val="Aktuální seznam10"/>
    <w:uiPriority w:val="99"/>
    <w:rsid w:val="001A118D"/>
    <w:pPr>
      <w:numPr>
        <w:numId w:val="11"/>
      </w:numPr>
    </w:pPr>
  </w:style>
  <w:style w:type="numbering" w:customStyle="1" w:styleId="Aktulnseznam11">
    <w:name w:val="Aktuální seznam11"/>
    <w:uiPriority w:val="99"/>
    <w:rsid w:val="001A118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1A11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118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654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54D0"/>
  </w:style>
  <w:style w:type="paragraph" w:styleId="Zpat">
    <w:name w:val="footer"/>
    <w:basedOn w:val="Normln"/>
    <w:link w:val="ZpatChar"/>
    <w:uiPriority w:val="99"/>
    <w:unhideWhenUsed/>
    <w:rsid w:val="00A654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8B7712-8FD5-BF49-9D16-6F0CD457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[VGD Legal] Darek Doležal</dc:creator>
  <cp:keywords/>
  <dc:description/>
  <cp:lastModifiedBy>Irena Glatzová</cp:lastModifiedBy>
  <cp:revision>2</cp:revision>
  <dcterms:created xsi:type="dcterms:W3CDTF">2023-11-30T08:09:00Z</dcterms:created>
  <dcterms:modified xsi:type="dcterms:W3CDTF">2023-11-30T08:09:00Z</dcterms:modified>
</cp:coreProperties>
</file>